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99" w:rsidRPr="001B1C99" w:rsidRDefault="001B1C99" w:rsidP="001B1C99">
      <w:pPr>
        <w:spacing w:after="100" w:afterAutospacing="1" w:line="240" w:lineRule="auto"/>
        <w:ind w:left="-851"/>
        <w:outlineLvl w:val="0"/>
        <w:rPr>
          <w:rFonts w:ascii="Times New Roman" w:eastAsia="Times New Roman" w:hAnsi="Times New Roman" w:cs="Times New Roman"/>
          <w:b/>
          <w:color w:val="00274E"/>
          <w:kern w:val="36"/>
          <w:sz w:val="48"/>
          <w:szCs w:val="48"/>
          <w:lang w:eastAsia="ru-RU"/>
        </w:rPr>
      </w:pPr>
      <w:r>
        <w:rPr>
          <w:rFonts w:ascii="HelveticaNeueCyr-Roman" w:eastAsia="Times New Roman" w:hAnsi="HelveticaNeueCyr-Roman" w:cs="Times New Roman"/>
          <w:color w:val="00274E"/>
          <w:kern w:val="36"/>
          <w:sz w:val="48"/>
          <w:szCs w:val="48"/>
          <w:lang w:val="uk-UA" w:eastAsia="ru-RU"/>
        </w:rPr>
        <w:t xml:space="preserve">       </w:t>
      </w:r>
      <w:r w:rsidRPr="001B1C99">
        <w:rPr>
          <w:rFonts w:ascii="Times New Roman" w:eastAsia="Times New Roman" w:hAnsi="Times New Roman" w:cs="Times New Roman"/>
          <w:b/>
          <w:color w:val="00274E"/>
          <w:kern w:val="36"/>
          <w:sz w:val="48"/>
          <w:szCs w:val="48"/>
          <w:lang w:eastAsia="ru-RU"/>
        </w:rPr>
        <w:t xml:space="preserve">Порядок і строки </w:t>
      </w:r>
      <w:proofErr w:type="spellStart"/>
      <w:r w:rsidRPr="001B1C99">
        <w:rPr>
          <w:rFonts w:ascii="Times New Roman" w:eastAsia="Times New Roman" w:hAnsi="Times New Roman" w:cs="Times New Roman"/>
          <w:b/>
          <w:color w:val="00274E"/>
          <w:kern w:val="36"/>
          <w:sz w:val="48"/>
          <w:szCs w:val="48"/>
          <w:lang w:eastAsia="ru-RU"/>
        </w:rPr>
        <w:t>розгляду</w:t>
      </w:r>
      <w:proofErr w:type="spellEnd"/>
      <w:r w:rsidRPr="001B1C99">
        <w:rPr>
          <w:rFonts w:ascii="Times New Roman" w:eastAsia="Times New Roman" w:hAnsi="Times New Roman" w:cs="Times New Roman"/>
          <w:b/>
          <w:color w:val="00274E"/>
          <w:kern w:val="36"/>
          <w:sz w:val="48"/>
          <w:szCs w:val="4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b/>
          <w:color w:val="00274E"/>
          <w:kern w:val="36"/>
          <w:sz w:val="48"/>
          <w:szCs w:val="48"/>
          <w:lang w:eastAsia="ru-RU"/>
        </w:rPr>
        <w:t>звернень</w:t>
      </w:r>
      <w:proofErr w:type="spellEnd"/>
      <w:r w:rsidRPr="001B1C99">
        <w:rPr>
          <w:rFonts w:ascii="Times New Roman" w:eastAsia="Times New Roman" w:hAnsi="Times New Roman" w:cs="Times New Roman"/>
          <w:b/>
          <w:color w:val="00274E"/>
          <w:kern w:val="36"/>
          <w:sz w:val="48"/>
          <w:szCs w:val="4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b/>
          <w:color w:val="00274E"/>
          <w:kern w:val="36"/>
          <w:sz w:val="48"/>
          <w:szCs w:val="48"/>
          <w:lang w:eastAsia="ru-RU"/>
        </w:rPr>
        <w:t>громадян</w:t>
      </w:r>
      <w:proofErr w:type="spellEnd"/>
    </w:p>
    <w:p w:rsidR="001B1C99" w:rsidRPr="001B1C99" w:rsidRDefault="001B1C99" w:rsidP="001B1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HelveticaNeueCyr-Roman" w:eastAsia="Times New Roman" w:hAnsi="HelveticaNeueCyr-Roman" w:cs="Times New Roman"/>
          <w:color w:val="000000" w:themeColor="text1"/>
          <w:sz w:val="24"/>
          <w:szCs w:val="24"/>
          <w:lang w:eastAsia="ru-RU"/>
        </w:rPr>
        <w:t>      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Відповідно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 ст.40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Конституції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України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мають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направляти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індивідуальні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колективні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письмові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особисто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звертатися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державної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влади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місцевого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самоврядування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посадових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службових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осіб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зобов'язані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розглянути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обґрунтовану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відповідь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встановлений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законом строк.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втілюється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життя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конституційних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управлінні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державними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громадськими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справами.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важливою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формою контролю за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законністю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діяльності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місцевого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 і свобод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Правовою основою для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взаємовідносин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громадянина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державного органу є Закон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”, Постанова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Кабінету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Міністрів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квітня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1997р. №348 “Про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затвердження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Інструкції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діловодства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органах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місцевого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об'єднаннях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підприємствах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установах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організаціях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незалежно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засобах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масової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”.</w:t>
      </w: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                          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Що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є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зверненням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громадян</w:t>
      </w:r>
      <w:proofErr w:type="spellEnd"/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ст. 3 Закону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викладені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письмовій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усній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пропозиції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зауваження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заяви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клопотання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скарги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Окремо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наведемо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характеристики кожного виду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Пропозиція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зауваження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-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висловлюються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порада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рекомендація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діяльності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місцевого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усіх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рівнів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посадових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висловлюються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думки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врегулювання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суспільних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відносин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умов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життя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вдосконалення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державного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громадського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життя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соціально-культурної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сфер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діяльності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суспільства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клопотання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-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проханням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реалізації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закріплених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Конституцією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чинним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законодавством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 та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інтересів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повідомлення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чинного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законодавства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недоліки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діяльності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підприємств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незалежно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депутатів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місцевих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посадових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висловлення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думки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поліпшення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діяльності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Клопотання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письмове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проханням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особою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статусу, прав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свобод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тощо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Скарга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вимогою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поновлення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захист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інтересів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бездіяльністю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рішеннями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місцевого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підприємств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об'єднань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посадових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</w:pP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</w:pP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</w:pP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</w:pP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</w:pP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</w:pP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Яким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може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бути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звернення</w:t>
      </w:r>
      <w:proofErr w:type="spellEnd"/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усним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письмовим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Усне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викладається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громадянином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особистому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прийомі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допомогою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засобів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телефонного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зв’язку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визначені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гарячі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лінії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та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записується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реєструється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посадовою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особою.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Письмове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надсилається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поштою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громадянином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органу, установи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особисто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уповноважену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ним особу,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повноваження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законодавства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Письмове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надіслане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використанням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мережі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Інтернет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засобів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зв’язку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зазначено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прізвище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ім’я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батькові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громадянина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викладено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суть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зауваження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пропозиції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заяви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скарги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вимоги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Письмове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повинно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підписано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заявником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заявниками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зазначенням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електронному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зазначено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поштову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адресу, на яку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заявнику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надіслано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відомості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засоби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зв’язку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ним.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Застосування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цифрового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підпису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надсиланні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вимагається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Ким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може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бути подано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звернення</w:t>
      </w:r>
      <w:proofErr w:type="spellEnd"/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Громадянами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 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особами,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є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громадянами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законно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знаходяться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території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передбачено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міжнародними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договорами).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подано як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окремою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особою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індивідуальне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так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колективне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Вимоги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до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звернення</w:t>
      </w:r>
      <w:proofErr w:type="spellEnd"/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ст.5 Закону “Про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дотримані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такі-вимоги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вимоги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адресуються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органам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місцевого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посадовим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особам, до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повноважень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належить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вирішення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вимоги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зазначено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прізвище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ім'я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батькові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громадянина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викладено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суть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зауваження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пропозиції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заяви карги,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прохання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вимоги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Письмове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повинно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підписано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заявником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заявниками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зазначенням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електронному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зазначено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поштову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адресу, на яку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заявнику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надіслано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відомості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засоби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зв’язку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ним.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Застосування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цифрового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підпису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надсиланні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вимагається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дотримання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зазначених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вимог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повертається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заявнику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відповідними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роз’ясненнями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пізніш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 через десять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надходження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вимоги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мають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звертатися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місцевого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самоврядування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підприємств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організацій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комунальної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власності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посадових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українською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прийнятною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сторін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</w:pP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</w:pP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</w:pP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Які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не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підлягають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розгляду</w:t>
      </w:r>
      <w:proofErr w:type="spellEnd"/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Письмові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зазначення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місця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підписані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автором (авторами), 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неможливо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встановити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авторство,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визнаються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анонімними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підлягають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розглядаються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повторні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одним і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 органом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одного і того ж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громадянина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одного і того ж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перше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вирішено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терміни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передбачено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статтею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17 Закону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”, та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осіб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визнаних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судом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недієздатними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Рішення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припинення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такого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приймає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керівник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органу, 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повідомляється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подала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 w:eastAsia="ru-RU"/>
        </w:rPr>
        <w:t>Т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ерміни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розгляду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звернень</w:t>
      </w:r>
      <w:proofErr w:type="spellEnd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громадян</w:t>
      </w:r>
      <w:proofErr w:type="spellEnd"/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5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випадку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порушено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віднесено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органу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п'ятиденний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термін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надіслати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перший -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супровідний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 до компетентного органу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посадової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особи 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доданим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нього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громадянина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другий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 до автора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повідомленням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пересилання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компетентному органу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посадовій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відповідними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роз'ясненнями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10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містить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необхідних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прийняття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обґрунтованого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рішення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органом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посадовою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особою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тобто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подана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неповна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ситуації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десятиденний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термін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повертається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громадянину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відповідними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роз’ясненнями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Невідкладно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але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пізніше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Так Закон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зобов’язує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розглядати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потребують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додаткового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вивчення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30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більше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місяця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термін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загальним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B1C99" w:rsidRPr="001B1C99" w:rsidRDefault="001B1C99" w:rsidP="001B1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45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ст.20 Закону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України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громадян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місячний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термін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вирішити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неможливо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керівник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органу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державної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заступник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встановлюють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необхідний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термін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цьому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загальний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термін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вирішення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порушених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перевищувати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сорока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п'яти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днів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Підставою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продовження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терміну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 правило, є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службова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доповідна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записка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виконавця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ім'я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керівника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де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обґрунтовується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неможливість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вирішення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питання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протягом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місяця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 такому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продовження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терміну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розгляду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звернення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автор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повідомляється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письмовій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формі</w:t>
      </w:r>
      <w:proofErr w:type="spellEnd"/>
      <w:r w:rsidRPr="001B1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E0484" w:rsidRPr="001B1C99" w:rsidRDefault="000E0484" w:rsidP="001B1C9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0E0484" w:rsidRPr="001B1C99" w:rsidSect="001B1C99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11"/>
    <w:rsid w:val="000E0484"/>
    <w:rsid w:val="001B1C99"/>
    <w:rsid w:val="003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1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C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1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1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C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1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8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2026-06-04T05:35:00Z</cp:lastPrinted>
  <dcterms:created xsi:type="dcterms:W3CDTF">2026-06-04T05:28:00Z</dcterms:created>
  <dcterms:modified xsi:type="dcterms:W3CDTF">2026-06-04T05:35:00Z</dcterms:modified>
</cp:coreProperties>
</file>